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0" w:line="360" w:lineRule="auto"/>
        <w:jc w:val="both"/>
        <w:rPr>
          <w:rFonts w:hint="default" w:eastAsia="Times New Roman"/>
          <w:b/>
          <w:color w:val="FF0000"/>
          <w:spacing w:val="-20"/>
          <w:sz w:val="68"/>
          <w:szCs w:val="68"/>
        </w:rPr>
      </w:pPr>
      <w:r>
        <w:rPr>
          <w:rFonts w:ascii="宋体" w:hAnsi="宋体"/>
          <w:b/>
          <w:color w:val="FF0000"/>
          <w:spacing w:val="-20"/>
          <w:sz w:val="68"/>
          <w:szCs w:val="68"/>
        </w:rPr>
        <w:t>四川大学</w:t>
      </w:r>
      <w:r>
        <w:rPr>
          <w:rFonts w:hint="eastAsia" w:ascii="宋体" w:hAnsi="宋体"/>
          <w:b/>
          <w:color w:val="FF0000"/>
          <w:spacing w:val="-20"/>
          <w:sz w:val="68"/>
          <w:szCs w:val="68"/>
          <w:lang w:val="en-US" w:eastAsia="zh-CN"/>
        </w:rPr>
        <w:t>成人继续</w:t>
      </w:r>
      <w:r>
        <w:rPr>
          <w:rFonts w:ascii="宋体" w:hAnsi="宋体"/>
          <w:b/>
          <w:color w:val="FF0000"/>
          <w:spacing w:val="-20"/>
          <w:sz w:val="68"/>
          <w:szCs w:val="68"/>
        </w:rPr>
        <w:t>教育学院文件</w:t>
      </w:r>
    </w:p>
    <w:p>
      <w:pPr>
        <w:spacing w:line="360" w:lineRule="auto"/>
        <w:rPr>
          <w:rFonts w:ascii="华文中宋" w:hAnsi="宋体" w:eastAsia="华文中宋"/>
          <w:sz w:val="24"/>
        </w:rPr>
      </w:pPr>
    </w:p>
    <w:p>
      <w:pPr>
        <w:spacing w:line="360" w:lineRule="auto"/>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成继</w:t>
      </w:r>
      <w:r>
        <w:rPr>
          <w:rFonts w:hint="eastAsia" w:ascii="仿宋" w:hAnsi="仿宋" w:eastAsia="仿宋" w:cs="仿宋"/>
          <w:b w:val="0"/>
          <w:bCs w:val="0"/>
          <w:sz w:val="32"/>
          <w:szCs w:val="32"/>
        </w:rPr>
        <w:t>院[201</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号</w:t>
      </w:r>
    </w:p>
    <w:p>
      <w:pPr>
        <w:spacing w:line="460" w:lineRule="exact"/>
        <w:jc w:val="center"/>
        <w:rPr>
          <w:b/>
          <w:sz w:val="36"/>
          <w:szCs w:val="28"/>
        </w:rPr>
      </w:pPr>
      <w:r>
        <w:rPr>
          <w:rFonts w:ascii="黑体" w:hAnsi="宋体" w:eastAsia="黑体"/>
          <w:sz w:val="24"/>
          <w:lang w:bidi="mn-Mong-CN"/>
        </w:rPr>
        <w:drawing>
          <wp:inline distT="0" distB="0" distL="114300" distR="114300">
            <wp:extent cx="5759450" cy="190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preferRelativeResize="0">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759450" cy="19050"/>
                    </a:xfrm>
                    <a:prstGeom prst="rect">
                      <a:avLst/>
                    </a:prstGeom>
                    <a:solidFill>
                      <a:srgbClr val="FF0000"/>
                    </a:solidFill>
                    <a:ln>
                      <a:noFill/>
                    </a:ln>
                    <a:effectLst/>
                  </pic:spPr>
                </pic:pic>
              </a:graphicData>
            </a:graphic>
          </wp:inline>
        </w:drawing>
      </w:r>
    </w:p>
    <w:p>
      <w:pPr>
        <w:spacing w:line="360" w:lineRule="auto"/>
        <w:jc w:val="center"/>
        <w:rPr>
          <w:rFonts w:hint="eastAsia" w:asciiTheme="majorEastAsia" w:hAnsiTheme="majorEastAsia" w:eastAsiaTheme="majorEastAsia" w:cstheme="majorEastAsia"/>
          <w:b/>
          <w:sz w:val="40"/>
          <w:szCs w:val="40"/>
        </w:rPr>
      </w:pPr>
      <w:r>
        <w:rPr>
          <w:rFonts w:hint="eastAsia" w:asciiTheme="majorEastAsia" w:hAnsiTheme="majorEastAsia" w:eastAsiaTheme="majorEastAsia" w:cstheme="majorEastAsia"/>
          <w:b/>
          <w:sz w:val="40"/>
          <w:szCs w:val="40"/>
        </w:rPr>
        <w:t>关于强化考试管理、严肃考风考纪有关规定的通知</w:t>
      </w:r>
    </w:p>
    <w:p>
      <w:pPr>
        <w:spacing w:line="360" w:lineRule="auto"/>
        <w:ind w:firstLine="480" w:firstLineChars="200"/>
        <w:rPr>
          <w:rFonts w:ascii="宋体" w:hAnsi="宋体"/>
          <w:sz w:val="24"/>
        </w:rPr>
      </w:pPr>
    </w:p>
    <w:p>
      <w:pPr>
        <w:keepNext w:val="0"/>
        <w:keepLines w:val="0"/>
        <w:pageBreakBefore w:val="0"/>
        <w:kinsoku/>
        <w:wordWrap/>
        <w:overflowPunct/>
        <w:topLinePunct w:val="0"/>
        <w:autoSpaceDE/>
        <w:autoSpaceDN/>
        <w:bidi w:val="0"/>
        <w:spacing w:line="36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各校外学习中心，各办学学院：</w:t>
      </w:r>
    </w:p>
    <w:p>
      <w:pPr>
        <w:keepNext w:val="0"/>
        <w:keepLines w:val="0"/>
        <w:pageBreakBefore w:val="0"/>
        <w:kinsoku/>
        <w:wordWrap/>
        <w:overflowPunct/>
        <w:topLinePunct w:val="0"/>
        <w:autoSpaceDE/>
        <w:autoSpaceDN/>
        <w:bidi w:val="0"/>
        <w:spacing w:line="360" w:lineRule="auto"/>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201709批次考试在即，为强化考试管理，杜绝违纪作弊，维护考试公平，我院将有关要求通知如下，望遵照执行。</w:t>
      </w:r>
    </w:p>
    <w:p>
      <w:pPr>
        <w:pStyle w:val="12"/>
        <w:keepNext w:val="0"/>
        <w:keepLines w:val="0"/>
        <w:pageBreakBefore w:val="0"/>
        <w:numPr>
          <w:ilvl w:val="0"/>
          <w:numId w:val="1"/>
        </w:numPr>
        <w:kinsoku/>
        <w:wordWrap/>
        <w:overflowPunct/>
        <w:topLinePunct w:val="0"/>
        <w:autoSpaceDE/>
        <w:autoSpaceDN/>
        <w:bidi w:val="0"/>
        <w:spacing w:line="360" w:lineRule="auto"/>
        <w:ind w:right="0" w:rightChars="0" w:firstLineChars="0"/>
        <w:textAlignment w:val="auto"/>
        <w:outlineLvl w:val="0"/>
        <w:rPr>
          <w:rFonts w:hint="eastAsia" w:ascii="仿宋" w:hAnsi="仿宋" w:eastAsia="仿宋" w:cs="仿宋"/>
          <w:sz w:val="32"/>
          <w:szCs w:val="32"/>
        </w:rPr>
      </w:pPr>
      <w:r>
        <w:rPr>
          <w:rFonts w:hint="eastAsia" w:ascii="仿宋" w:hAnsi="仿宋" w:eastAsia="仿宋" w:cs="仿宋"/>
          <w:sz w:val="32"/>
          <w:szCs w:val="32"/>
        </w:rPr>
        <w:t>加强考风考纪教育，提高学生诚信考试的自觉性</w:t>
      </w:r>
    </w:p>
    <w:p>
      <w:pPr>
        <w:keepNext w:val="0"/>
        <w:keepLines w:val="0"/>
        <w:pageBreakBefore w:val="0"/>
        <w:kinsoku/>
        <w:wordWrap/>
        <w:overflowPunct/>
        <w:topLinePunct w:val="0"/>
        <w:autoSpaceDE/>
        <w:autoSpaceDN/>
        <w:bidi w:val="0"/>
        <w:spacing w:line="36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1、加强考前宣传动员，通过多种形式加大考风考纪的宣传力度，营造诚信考试氛围，让学生明确考试不仅是对专业知识掌握情况的检验，更是一场诚信品质的检验。 </w:t>
      </w:r>
    </w:p>
    <w:p>
      <w:pPr>
        <w:keepNext w:val="0"/>
        <w:keepLines w:val="0"/>
        <w:pageBreakBefore w:val="0"/>
        <w:kinsoku/>
        <w:wordWrap/>
        <w:overflowPunct/>
        <w:topLinePunct w:val="0"/>
        <w:autoSpaceDE/>
        <w:autoSpaceDN/>
        <w:bidi w:val="0"/>
        <w:spacing w:line="360" w:lineRule="auto"/>
        <w:ind w:right="0" w:rightChars="0"/>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2、加强校规校纪教育，各校外学习中心考前要组织学生认真学习《四川大学网络教育学院考场规则（修订）》(网教院[2007]28号)、《关于校外学习中心考务工作管理的有关规定（2010年4月修订）》（网教院[2010]9号）、《</w:t>
      </w:r>
      <w:r>
        <w:rPr>
          <w:rFonts w:hint="eastAsia" w:ascii="仿宋" w:hAnsi="仿宋" w:eastAsia="仿宋" w:cs="仿宋"/>
          <w:bCs/>
          <w:sz w:val="32"/>
          <w:szCs w:val="32"/>
        </w:rPr>
        <w:t>四川大学网络教育学院业余学生考试违纪作弊处理办法（2010年4月修订）</w:t>
      </w:r>
      <w:r>
        <w:rPr>
          <w:rFonts w:hint="eastAsia" w:ascii="仿宋" w:hAnsi="仿宋" w:eastAsia="仿宋" w:cs="仿宋"/>
          <w:sz w:val="32"/>
          <w:szCs w:val="32"/>
        </w:rPr>
        <w:t>》(网教院[2010]11号)和《四川大学授予成人高等教育本科毕业生学士学位实施细则》(校学位[2014]4号)等规章制度，将考试作弊的认定与处理、考试作弊不能申报学士学位、考试作弊将记入学生档案等规定作为重点学习内容，使学生能知晓规定，自觉遵守规定。 </w:t>
      </w:r>
    </w:p>
    <w:p>
      <w:pPr>
        <w:keepNext w:val="0"/>
        <w:keepLines w:val="0"/>
        <w:pageBreakBefore w:val="0"/>
        <w:kinsoku/>
        <w:wordWrap/>
        <w:overflowPunct/>
        <w:topLinePunct w:val="0"/>
        <w:autoSpaceDE/>
        <w:autoSpaceDN/>
        <w:bidi w:val="0"/>
        <w:spacing w:line="36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3、开展警示教育，要用考试作弊受到纪律处分、甚至被取消学位、开除学籍等反面典型教育学生，让学生了解考试作弊的严重危害，并能引以为戒。 </w:t>
      </w:r>
    </w:p>
    <w:p>
      <w:pPr>
        <w:pStyle w:val="12"/>
        <w:keepNext w:val="0"/>
        <w:keepLines w:val="0"/>
        <w:pageBreakBefore w:val="0"/>
        <w:numPr>
          <w:ilvl w:val="0"/>
          <w:numId w:val="1"/>
        </w:numPr>
        <w:kinsoku/>
        <w:wordWrap/>
        <w:overflowPunct/>
        <w:topLinePunct w:val="0"/>
        <w:autoSpaceDE/>
        <w:autoSpaceDN/>
        <w:bidi w:val="0"/>
        <w:spacing w:line="360" w:lineRule="auto"/>
        <w:ind w:right="0" w:rightChars="0" w:firstLineChars="0"/>
        <w:textAlignment w:val="auto"/>
        <w:outlineLvl w:val="0"/>
        <w:rPr>
          <w:rFonts w:hint="eastAsia" w:ascii="仿宋" w:hAnsi="仿宋" w:eastAsia="仿宋" w:cs="仿宋"/>
          <w:sz w:val="32"/>
          <w:szCs w:val="32"/>
        </w:rPr>
      </w:pPr>
      <w:r>
        <w:rPr>
          <w:rFonts w:hint="eastAsia" w:ascii="仿宋" w:hAnsi="仿宋" w:eastAsia="仿宋" w:cs="仿宋"/>
          <w:sz w:val="32"/>
          <w:szCs w:val="32"/>
        </w:rPr>
        <w:t>加强考试组织管理，做好考前准备工作</w:t>
      </w:r>
    </w:p>
    <w:p>
      <w:pPr>
        <w:keepNext w:val="0"/>
        <w:keepLines w:val="0"/>
        <w:pageBreakBefore w:val="0"/>
        <w:kinsoku/>
        <w:wordWrap/>
        <w:overflowPunct/>
        <w:topLinePunct w:val="0"/>
        <w:autoSpaceDE/>
        <w:autoSpaceDN/>
        <w:bidi w:val="0"/>
        <w:spacing w:line="360" w:lineRule="auto"/>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1、各校外学习中心要加强考试的领导和组织管理工作，成立考试工作领导小组和考务管理办公室，落实考前的各项准备工作；</w:t>
      </w:r>
    </w:p>
    <w:p>
      <w:pPr>
        <w:keepNext w:val="0"/>
        <w:keepLines w:val="0"/>
        <w:pageBreakBefore w:val="0"/>
        <w:kinsoku/>
        <w:wordWrap/>
        <w:overflowPunct/>
        <w:topLinePunct w:val="0"/>
        <w:autoSpaceDE/>
        <w:autoSpaceDN/>
        <w:bidi w:val="0"/>
        <w:spacing w:line="360" w:lineRule="auto"/>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2、各校外学习中心要按照要求设立试卷保管室，用于存放和保管启用前的考试试卷以及考试期间的试卷答卷；</w:t>
      </w:r>
    </w:p>
    <w:p>
      <w:pPr>
        <w:keepNext w:val="0"/>
        <w:keepLines w:val="0"/>
        <w:pageBreakBefore w:val="0"/>
        <w:kinsoku/>
        <w:wordWrap/>
        <w:overflowPunct/>
        <w:topLinePunct w:val="0"/>
        <w:autoSpaceDE/>
        <w:autoSpaceDN/>
        <w:bidi w:val="0"/>
        <w:spacing w:line="360" w:lineRule="auto"/>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3、各校外学习中心要提前落实考试场所，严格按照学校的相关规定设置考场；</w:t>
      </w:r>
    </w:p>
    <w:p>
      <w:pPr>
        <w:keepNext w:val="0"/>
        <w:keepLines w:val="0"/>
        <w:pageBreakBefore w:val="0"/>
        <w:kinsoku/>
        <w:wordWrap/>
        <w:overflowPunct/>
        <w:topLinePunct w:val="0"/>
        <w:autoSpaceDE/>
        <w:autoSpaceDN/>
        <w:bidi w:val="0"/>
        <w:spacing w:line="360" w:lineRule="auto"/>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4、各校外学习中心要负责选派工作认真、原则性强的工作人员进行监考，做好监考老师的培训工作，并积极配合学校巡考工作。</w:t>
      </w:r>
    </w:p>
    <w:p>
      <w:pPr>
        <w:pStyle w:val="12"/>
        <w:keepNext w:val="0"/>
        <w:keepLines w:val="0"/>
        <w:pageBreakBefore w:val="0"/>
        <w:numPr>
          <w:ilvl w:val="0"/>
          <w:numId w:val="1"/>
        </w:numPr>
        <w:kinsoku/>
        <w:wordWrap/>
        <w:overflowPunct/>
        <w:topLinePunct w:val="0"/>
        <w:autoSpaceDE/>
        <w:autoSpaceDN/>
        <w:bidi w:val="0"/>
        <w:spacing w:line="360" w:lineRule="auto"/>
        <w:ind w:right="0" w:rightChars="0" w:firstLineChars="0"/>
        <w:textAlignment w:val="auto"/>
        <w:outlineLvl w:val="0"/>
        <w:rPr>
          <w:rFonts w:hint="eastAsia" w:ascii="仿宋" w:hAnsi="仿宋" w:eastAsia="仿宋" w:cs="仿宋"/>
          <w:sz w:val="32"/>
          <w:szCs w:val="32"/>
        </w:rPr>
      </w:pPr>
      <w:r>
        <w:rPr>
          <w:rFonts w:hint="eastAsia" w:ascii="仿宋" w:hAnsi="仿宋" w:eastAsia="仿宋" w:cs="仿宋"/>
          <w:sz w:val="32"/>
          <w:szCs w:val="32"/>
        </w:rPr>
        <w:t>加强政策宣讲，做好巡考组织培训工作</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rightChars="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1、各办学学院要按照规定选派巡考工作人员，积极参加学院组织巡考培训；</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rightChars="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2、各巡考人员要严格遵守国家的法律法规及学校的各项规定，坚守岗位，认真履职；</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rightChars="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3、参加巡考培训是考核各办学学院考试管理工作的重要指标。</w:t>
      </w:r>
    </w:p>
    <w:p>
      <w:pPr>
        <w:pStyle w:val="12"/>
        <w:keepNext w:val="0"/>
        <w:keepLines w:val="0"/>
        <w:pageBreakBefore w:val="0"/>
        <w:numPr>
          <w:ilvl w:val="0"/>
          <w:numId w:val="1"/>
        </w:numPr>
        <w:kinsoku/>
        <w:wordWrap/>
        <w:overflowPunct/>
        <w:topLinePunct w:val="0"/>
        <w:autoSpaceDE/>
        <w:autoSpaceDN/>
        <w:bidi w:val="0"/>
        <w:spacing w:line="360" w:lineRule="auto"/>
        <w:ind w:right="0" w:rightChars="0" w:firstLineChars="0"/>
        <w:textAlignment w:val="auto"/>
        <w:rPr>
          <w:rFonts w:hint="eastAsia" w:ascii="仿宋" w:hAnsi="仿宋" w:eastAsia="仿宋" w:cs="仿宋"/>
          <w:sz w:val="32"/>
          <w:szCs w:val="32"/>
        </w:rPr>
      </w:pPr>
      <w:r>
        <w:rPr>
          <w:rFonts w:hint="eastAsia" w:ascii="仿宋" w:hAnsi="仿宋" w:eastAsia="仿宋" w:cs="仿宋"/>
          <w:sz w:val="32"/>
          <w:szCs w:val="32"/>
        </w:rPr>
        <w:t>加强防范意识</w:t>
      </w:r>
      <w:r>
        <w:rPr>
          <w:rFonts w:hint="eastAsia" w:ascii="仿宋" w:hAnsi="仿宋" w:eastAsia="仿宋" w:cs="仿宋"/>
          <w:color w:val="000000"/>
          <w:sz w:val="32"/>
          <w:szCs w:val="32"/>
        </w:rPr>
        <w:t>，</w:t>
      </w:r>
      <w:r>
        <w:rPr>
          <w:rFonts w:hint="eastAsia" w:ascii="仿宋" w:hAnsi="仿宋" w:eastAsia="仿宋" w:cs="仿宋"/>
          <w:sz w:val="32"/>
          <w:szCs w:val="32"/>
        </w:rPr>
        <w:t>严格考场管理</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rightChars="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1、监考和巡考人员考前要重点加强考场清场和考生证件的核对，严防携带通讯设备（特别是手机）参加考试以及替考；</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rightChars="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2、考前要宣布考试纪律；</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rightChars="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在考试过程中，监考人员应及时提醒、督促学生遵守考试纪律，对有违纪、作弊动机的学生，应警告在前。一旦发现学生有违规行为，监考人员应立即终止其考试，收回试卷，监考人员按《四川大学网络教育学院考场规则（修订）》认定考生违纪或作弊性质，在试卷上注明“违纪”、“作弊”字样，收集证据，令其退出考场，并当场在《四川大学网络教育学院考场记录表》和《四川大学网络教育学院学生考试违纪作弊处理表》中详细记录违纪、作弊事实，巡考老师共同确认并签字，同时学生本人也要签字确认。</w:t>
      </w:r>
    </w:p>
    <w:p>
      <w:pPr>
        <w:pStyle w:val="12"/>
        <w:keepNext w:val="0"/>
        <w:keepLines w:val="0"/>
        <w:pageBreakBefore w:val="0"/>
        <w:numPr>
          <w:ilvl w:val="0"/>
          <w:numId w:val="1"/>
        </w:numPr>
        <w:kinsoku/>
        <w:wordWrap/>
        <w:overflowPunct/>
        <w:topLinePunct w:val="0"/>
        <w:autoSpaceDE/>
        <w:autoSpaceDN/>
        <w:bidi w:val="0"/>
        <w:spacing w:line="360" w:lineRule="auto"/>
        <w:ind w:right="0" w:rightChars="0" w:firstLineChars="0"/>
        <w:textAlignment w:val="auto"/>
        <w:rPr>
          <w:rFonts w:hint="eastAsia" w:ascii="仿宋" w:hAnsi="仿宋" w:eastAsia="仿宋" w:cs="仿宋"/>
          <w:sz w:val="32"/>
          <w:szCs w:val="32"/>
        </w:rPr>
      </w:pPr>
      <w:r>
        <w:rPr>
          <w:rFonts w:hint="eastAsia" w:ascii="仿宋" w:hAnsi="仿宋" w:eastAsia="仿宋" w:cs="仿宋"/>
          <w:sz w:val="32"/>
          <w:szCs w:val="32"/>
        </w:rPr>
        <w:t>加强稳定工作和不稳定隐患的排查化解，做好预案，维护考场秩序</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rightChars="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各学习中心应加强学生的稳定安全工作，排除不稳定隐患，妥善处理学生关于学费、教学、管理中的切身利益问题，做好特殊问题的应急预案，确保考试工作的顺利完成。</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rightChars="0" w:firstLine="640" w:firstLineChars="200"/>
        <w:textAlignment w:val="auto"/>
        <w:rPr>
          <w:rFonts w:hint="eastAsia" w:ascii="仿宋" w:hAnsi="仿宋" w:eastAsia="仿宋" w:cs="仿宋"/>
          <w:color w:val="000000"/>
          <w:sz w:val="32"/>
          <w:szCs w:val="32"/>
        </w:rPr>
      </w:pPr>
    </w:p>
    <w:p>
      <w:pPr>
        <w:keepNext w:val="0"/>
        <w:keepLines w:val="0"/>
        <w:pageBreakBefore w:val="0"/>
        <w:kinsoku/>
        <w:wordWrap/>
        <w:overflowPunct/>
        <w:topLinePunct w:val="0"/>
        <w:autoSpaceDE/>
        <w:autoSpaceDN/>
        <w:bidi w:val="0"/>
        <w:spacing w:line="360" w:lineRule="auto"/>
        <w:ind w:right="0" w:rightChars="0" w:firstLine="480"/>
        <w:textAlignment w:val="auto"/>
        <w:rPr>
          <w:rFonts w:hint="eastAsia" w:ascii="仿宋" w:hAnsi="仿宋" w:eastAsia="仿宋" w:cs="仿宋"/>
          <w:sz w:val="32"/>
          <w:szCs w:val="32"/>
        </w:rPr>
      </w:pPr>
      <w:r>
        <w:rPr>
          <w:rFonts w:hint="eastAsia" w:ascii="仿宋" w:hAnsi="仿宋" w:eastAsia="仿宋" w:cs="仿宋"/>
          <w:sz w:val="32"/>
          <w:szCs w:val="32"/>
        </w:rPr>
        <w:t>考风与学校的学风、教风和校风密切相关，是一所学校精神风貌的集中体现，考风考纪更直接关系到网络教育的社会评价和声誉，希望各办学学院和校外学习中心高度重视此次考试工作，认真履行职责，维护学校声誉，切实贯彻执行上述规定，将有关制度措施落实到位，大力治理考试环境，弘扬诚信、诚实做人的正气，遏制不良风气的蔓延，杜绝违纪作弊行为。我院也已将考试管理工作列为评估办学学院和校外学习中心重要指标，在本次考试中，对不认真履行巡考职责,造成严重考试违纪的办学学院，作为严重教学事故进行严肃查处，除进行通报批评外，同时上报学校；对不认真履行职责，出现严重考试违纪，造成不良社会影响的校外学习中心，我院将通报当地教育主管部门并上报教育部进</w:t>
      </w:r>
      <w:bookmarkStart w:id="0" w:name="_GoBack"/>
      <w:bookmarkEnd w:id="0"/>
      <w:r>
        <w:rPr>
          <w:rFonts w:hint="eastAsia" w:ascii="仿宋" w:hAnsi="仿宋" w:eastAsia="仿宋" w:cs="仿宋"/>
          <w:sz w:val="32"/>
          <w:szCs w:val="32"/>
        </w:rPr>
        <w:t>行严肃处理。</w:t>
      </w:r>
    </w:p>
    <w:p>
      <w:pPr>
        <w:keepNext w:val="0"/>
        <w:keepLines w:val="0"/>
        <w:pageBreakBefore w:val="0"/>
        <w:kinsoku/>
        <w:wordWrap/>
        <w:overflowPunct/>
        <w:topLinePunct w:val="0"/>
        <w:autoSpaceDE/>
        <w:autoSpaceDN/>
        <w:bidi w:val="0"/>
        <w:spacing w:line="360" w:lineRule="auto"/>
        <w:ind w:right="0" w:rightChars="0"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360" w:lineRule="auto"/>
        <w:ind w:right="0" w:rightChars="0"/>
        <w:jc w:val="right"/>
        <w:textAlignment w:val="auto"/>
        <w:rPr>
          <w:rFonts w:hint="eastAsia" w:ascii="仿宋" w:hAnsi="仿宋" w:eastAsia="仿宋" w:cs="仿宋"/>
          <w:sz w:val="32"/>
          <w:szCs w:val="32"/>
        </w:rPr>
      </w:pPr>
      <w:r>
        <w:rPr>
          <w:rFonts w:hint="eastAsia" w:ascii="仿宋" w:hAnsi="仿宋" w:eastAsia="仿宋" w:cs="仿宋"/>
          <w:sz w:val="32"/>
          <w:szCs w:val="32"/>
        </w:rPr>
        <w:t>四川大学成人继续教育学院</w:t>
      </w:r>
    </w:p>
    <w:p>
      <w:pPr>
        <w:keepNext w:val="0"/>
        <w:keepLines w:val="0"/>
        <w:pageBreakBefore w:val="0"/>
        <w:kinsoku/>
        <w:wordWrap/>
        <w:overflowPunct/>
        <w:topLinePunct w:val="0"/>
        <w:autoSpaceDE/>
        <w:autoSpaceDN/>
        <w:bidi w:val="0"/>
        <w:spacing w:line="360" w:lineRule="auto"/>
        <w:ind w:right="0" w:rightChars="0"/>
        <w:jc w:val="right"/>
        <w:textAlignment w:val="auto"/>
        <w:rPr>
          <w:rFonts w:hint="eastAsia" w:ascii="仿宋" w:hAnsi="仿宋" w:eastAsia="仿宋" w:cs="仿宋"/>
          <w:sz w:val="32"/>
          <w:szCs w:val="32"/>
        </w:rPr>
      </w:pPr>
      <w:r>
        <w:rPr>
          <w:rFonts w:hint="eastAsia" w:ascii="仿宋" w:hAnsi="仿宋" w:eastAsia="仿宋" w:cs="仿宋"/>
          <w:sz w:val="32"/>
          <w:szCs w:val="32"/>
        </w:rPr>
        <w:t>　　　　　　　   　                       2017年9月5日</w:t>
      </w:r>
    </w:p>
    <w:p>
      <w:pPr>
        <w:keepNext w:val="0"/>
        <w:keepLines w:val="0"/>
        <w:pageBreakBefore w:val="0"/>
        <w:kinsoku/>
        <w:wordWrap/>
        <w:overflowPunct/>
        <w:topLinePunct w:val="0"/>
        <w:autoSpaceDE/>
        <w:autoSpaceDN/>
        <w:bidi w:val="0"/>
        <w:spacing w:line="360" w:lineRule="auto"/>
        <w:ind w:right="0" w:rightChars="0"/>
        <w:jc w:val="righ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360" w:lineRule="auto"/>
        <w:ind w:right="0" w:rightChars="0"/>
        <w:jc w:val="righ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360" w:lineRule="auto"/>
        <w:ind w:right="0" w:rightChars="0"/>
        <w:jc w:val="righ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360" w:lineRule="auto"/>
        <w:ind w:right="0" w:rightChars="0"/>
        <w:jc w:val="righ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360" w:lineRule="auto"/>
        <w:ind w:right="0" w:rightChars="0"/>
        <w:jc w:val="righ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360" w:lineRule="auto"/>
        <w:ind w:right="0" w:rightChars="0"/>
        <w:jc w:val="righ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360" w:lineRule="auto"/>
        <w:ind w:right="0" w:rightChars="0"/>
        <w:jc w:val="righ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360" w:lineRule="auto"/>
        <w:ind w:right="0" w:rightChars="0"/>
        <w:jc w:val="righ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360" w:lineRule="auto"/>
        <w:ind w:right="0" w:rightChars="0"/>
        <w:jc w:val="righ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360" w:lineRule="auto"/>
        <w:ind w:right="0" w:rightChars="0"/>
        <w:jc w:val="right"/>
        <w:textAlignment w:val="auto"/>
        <w:rPr>
          <w:rFonts w:hint="eastAsia" w:ascii="仿宋" w:hAnsi="仿宋" w:eastAsia="仿宋" w:cs="仿宋"/>
          <w:sz w:val="32"/>
          <w:szCs w:val="32"/>
        </w:rPr>
      </w:pPr>
    </w:p>
    <w:p>
      <w:pPr>
        <w:spacing w:line="600" w:lineRule="exact"/>
        <w:rPr>
          <w:rFonts w:ascii="黑体" w:hAnsi="宋体" w:eastAsia="黑体"/>
          <w:b/>
          <w:sz w:val="24"/>
        </w:rPr>
      </w:pPr>
      <w:r>
        <w:rPr>
          <w:lang w:bidi="mn-Mong-C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381000</wp:posOffset>
                </wp:positionV>
                <wp:extent cx="5676900" cy="4445"/>
                <wp:effectExtent l="0" t="0" r="0" b="0"/>
                <wp:wrapNone/>
                <wp:docPr id="4" name="任意多边形 4"/>
                <wp:cNvGraphicFramePr/>
                <a:graphic xmlns:a="http://schemas.openxmlformats.org/drawingml/2006/main">
                  <a:graphicData uri="http://schemas.microsoft.com/office/word/2010/wordprocessingShape">
                    <wps:wsp>
                      <wps:cNvSpPr>
                        <a:spLocks noChangeArrowheads="1"/>
                      </wps:cNvSpPr>
                      <wps:spPr bwMode="auto">
                        <a:xfrm>
                          <a:off x="0" y="0"/>
                          <a:ext cx="5676900" cy="4445"/>
                        </a:xfrm>
                        <a:custGeom>
                          <a:avLst/>
                          <a:gdLst>
                            <a:gd name="T0" fmla="*/ 0 w 8992"/>
                            <a:gd name="T1" fmla="*/ 0 h 7"/>
                            <a:gd name="T2" fmla="*/ 8992 w 8992"/>
                            <a:gd name="T3" fmla="*/ 7 h 7"/>
                            <a:gd name="T4" fmla="*/ 8280 w 8992"/>
                            <a:gd name="T5" fmla="*/ 1 h 7"/>
                          </a:gdLst>
                          <a:ahLst/>
                          <a:cxnLst>
                            <a:cxn ang="0">
                              <a:pos x="T0" y="T1"/>
                            </a:cxn>
                            <a:cxn ang="0">
                              <a:pos x="T2" y="T3"/>
                            </a:cxn>
                            <a:cxn ang="0">
                              <a:pos x="T4" y="T5"/>
                            </a:cxn>
                          </a:cxnLst>
                          <a:rect l="0" t="0" r="r" b="b"/>
                          <a:pathLst>
                            <a:path w="8992" h="7">
                              <a:moveTo>
                                <a:pt x="0" y="0"/>
                              </a:moveTo>
                              <a:lnTo>
                                <a:pt x="8992" y="7"/>
                              </a:lnTo>
                              <a:lnTo>
                                <a:pt x="8280" y="1"/>
                              </a:lnTo>
                            </a:path>
                          </a:pathLst>
                        </a:custGeom>
                        <a:noFill/>
                        <a:ln w="15875">
                          <a:solidFill>
                            <a:srgbClr val="FF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0pt;margin-top:30pt;height:0.35pt;width:447pt;z-index:251658240;mso-width-relative:page;mso-height-relative:page;" filled="f" stroked="t" coordsize="8992,7" o:gfxdata="UEsDBAoAAAAAAIdO4kAAAAAAAAAAAAAAAAAEAAAAZHJzL1BLAwQUAAAACACHTuJAboQYRtYAAAAG&#10;AQAADwAAAGRycy9kb3ducmV2LnhtbE2PT0vDQBDF74LfYRnBm92tSFrTbAoWhCIIWkXobZudJsHs&#10;bNzdpPHbOz3Z0/x5w3u/KdaT68SIIbaeNMxnCgRS5W1LtYbPj+e7JYiYDFnTeUINvxhhXV5fFSa3&#10;/kTvOO5SLdiEYm40NCn1uZSxatCZOPM9EmtHH5xJPIZa2mBObO46ea9UJp1piRMa0+Omwep7NzgN&#10;T/vubdzsX37CFL62Q7a1i5Fetb69masViIRT+j+GMz6jQ8lMBz+QjaLTwI8kDZniyury8YGbw3mx&#10;AFkW8hK//ANQSwMEFAAAAAgAh07iQGY9OcbmAgAAUQYAAA4AAABkcnMvZTJvRG9jLnhtbK1V0W7T&#10;MBR9R+IfLD8isTRdurbR0mnaVIQ0YNLKB7iO00QkvsZ2m45n3nnnEfETaIKvYYjP4NpJuqwwHhB7&#10;SO3ck+Nz7vW9Oz7ZViXZCG0KkAkNDwaUCMkhLeQqoa8X86cTSoxlMmUlSJHQa2Hoyezxo+NaxWII&#10;OZSp0ARJpIlrldDcWhUHgeG5qJg5ACUkBjPQFbO41asg1axG9qoMhoPBUVCDTpUGLozBt+dNkM48&#10;f5YJbl9lmRGWlAlFbdY/tX8u3TOYHbN4pZnKC97KYP+gomKFxEN3VOfMMrLWxW9UVcE1GMjsAYcq&#10;gCwruPAe0E042HNzlTMlvBdMjlG7NJn/R8tfbi41KdKERpRIVmGJvt/c/Hj/4fbzx5/fvtx+/UQi&#10;l6RamRixV+pSO5tGXQB/Y4iEs5zJlTjVGupcsBSlhQ4f3PvAbQx+Spb1C0jxDLa24PO1zXTlCDET&#10;ZOvLcr0ri9hawvHl6Gh8NB1g9TjGoiga+QNY3H3L18Y+E+B52ObC2KaoKa58SdLW2AIpsqrE+j4J&#10;yIDUZDKdDtsbsMOE9zA5Ge8Dhj2AI3iA57AHG5M/8GC+d2Imw8lDekY9WNjxBHjROnss7xzzrWwt&#10;44pgWVwmXQYUGJdc5x8zuGgKxGJEuegDYPTpwIdtsv8ORjMO3FXGg1Ek/raKNHbifg9qSrAHl02C&#10;FbPOiJeLS1In1JeH5AkdexcVbMQCPMDu3RU86i5ayj6qIUFxvpAI7MLdr/JkrgLeQ5ecJox4Jwzv&#10;c7PwCnHdv3IS5kVZ+jtXSqc7HE3GIy/ZQFmkLupUG71anpWabBjOovl8gH9tbu/BNKxl6jrISXXf&#10;CT/G8GT3suukpiOXkF5jV2lo5hrOYVzkoN9RUuNMS6h5u2ZaUFI+l9iZ0zCK0KX1m2g0HuJG9yPL&#10;foRJjlQJtRTvklue2WZwrpUuVjmeFHqTEk6xm7Nip69R1YrFueW9tDPWDcb+3qPu/hPM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BuhBhG1gAAAAYBAAAPAAAAAAAAAAEAIAAAACIAAABkcnMvZG93&#10;bnJldi54bWxQSwECFAAUAAAACACHTuJAZj05xuYCAABRBgAADgAAAAAAAAABACAAAAAlAQAAZHJz&#10;L2Uyb0RvYy54bWxQSwUGAAAAAAYABgBZAQAAfQYAAAAA&#10;" path="m0,0l8992,7,8280,1e">
                <v:path o:connectlocs="0,0;5676900,4445;5227394,635" o:connectangles="0,0,0"/>
                <v:fill on="f" focussize="0,0"/>
                <v:stroke weight="1.25pt" color="#FF0000" joinstyle="round"/>
                <v:imagedata o:title=""/>
                <o:lock v:ext="edit" aspectratio="f"/>
              </v:shape>
            </w:pict>
          </mc:Fallback>
        </mc:AlternateContent>
      </w:r>
    </w:p>
    <w:p>
      <w:pPr>
        <w:spacing w:line="600" w:lineRule="exact"/>
        <w:rPr>
          <w:rFonts w:hint="eastAsia" w:ascii="仿宋" w:hAnsi="仿宋" w:eastAsia="仿宋" w:cs="仿宋"/>
          <w:sz w:val="32"/>
          <w:szCs w:val="32"/>
        </w:rPr>
      </w:pPr>
      <w:r>
        <w:rPr>
          <w:rFonts w:hint="eastAsia" w:ascii="仿宋" w:hAnsi="仿宋" w:eastAsia="仿宋" w:cs="仿宋"/>
          <w:sz w:val="32"/>
          <w:szCs w:val="32"/>
        </w:rPr>
        <w:t>四川大学</w:t>
      </w:r>
      <w:r>
        <w:rPr>
          <w:rFonts w:hint="eastAsia" w:ascii="仿宋" w:hAnsi="仿宋" w:eastAsia="仿宋" w:cs="仿宋"/>
          <w:sz w:val="32"/>
          <w:szCs w:val="32"/>
          <w:lang w:val="en-US" w:eastAsia="zh-CN"/>
        </w:rPr>
        <w:t>成人继续教育</w:t>
      </w:r>
      <w:r>
        <w:rPr>
          <w:rFonts w:hint="eastAsia" w:ascii="仿宋" w:hAnsi="仿宋" w:eastAsia="仿宋" w:cs="仿宋"/>
          <w:sz w:val="32"/>
          <w:szCs w:val="32"/>
        </w:rPr>
        <w:t xml:space="preserve">学院            </w:t>
      </w:r>
      <w:r>
        <w:rPr>
          <w:rFonts w:hint="eastAsia" w:ascii="仿宋" w:hAnsi="仿宋" w:eastAsia="仿宋" w:cs="仿宋"/>
          <w:sz w:val="32"/>
          <w:szCs w:val="32"/>
          <w:lang w:val="en-US" w:eastAsia="zh-CN"/>
        </w:rPr>
        <w:t>2017</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日印发</w:t>
      </w:r>
    </w:p>
    <w:p>
      <w:pPr>
        <w:spacing w:line="600" w:lineRule="exact"/>
        <w:rPr>
          <w:rFonts w:hint="eastAsia" w:ascii="仿宋" w:hAnsi="仿宋" w:eastAsia="仿宋" w:cs="仿宋"/>
          <w:sz w:val="32"/>
          <w:szCs w:val="32"/>
        </w:rPr>
      </w:pPr>
      <w:r>
        <w:rPr>
          <w:lang w:bidi="mn-Mong-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17780</wp:posOffset>
                </wp:positionV>
                <wp:extent cx="5676900" cy="4445"/>
                <wp:effectExtent l="0" t="0" r="0" b="0"/>
                <wp:wrapNone/>
                <wp:docPr id="2" name="任意多边形 2"/>
                <wp:cNvGraphicFramePr/>
                <a:graphic xmlns:a="http://schemas.openxmlformats.org/drawingml/2006/main">
                  <a:graphicData uri="http://schemas.microsoft.com/office/word/2010/wordprocessingShape">
                    <wps:wsp>
                      <wps:cNvSpPr>
                        <a:spLocks noChangeArrowheads="1"/>
                      </wps:cNvSpPr>
                      <wps:spPr bwMode="auto">
                        <a:xfrm>
                          <a:off x="0" y="0"/>
                          <a:ext cx="5676900" cy="4445"/>
                        </a:xfrm>
                        <a:custGeom>
                          <a:avLst/>
                          <a:gdLst>
                            <a:gd name="T0" fmla="*/ 0 w 9022"/>
                            <a:gd name="T1" fmla="*/ 0 h 7"/>
                            <a:gd name="T2" fmla="*/ 9022 w 9022"/>
                            <a:gd name="T3" fmla="*/ 7 h 7"/>
                          </a:gdLst>
                          <a:ahLst/>
                          <a:cxnLst>
                            <a:cxn ang="0">
                              <a:pos x="T0" y="T1"/>
                            </a:cxn>
                            <a:cxn ang="0">
                              <a:pos x="T2" y="T3"/>
                            </a:cxn>
                          </a:cxnLst>
                          <a:rect l="0" t="0" r="r" b="b"/>
                          <a:pathLst>
                            <a:path w="9022" h="7">
                              <a:moveTo>
                                <a:pt x="0" y="0"/>
                              </a:moveTo>
                              <a:lnTo>
                                <a:pt x="9022" y="7"/>
                              </a:lnTo>
                            </a:path>
                          </a:pathLst>
                        </a:custGeom>
                        <a:noFill/>
                        <a:ln w="15875">
                          <a:solidFill>
                            <a:srgbClr val="FF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0pt;margin-top:1.4pt;height:0.35pt;width:447pt;z-index:251660288;mso-width-relative:page;mso-height-relative:page;" filled="f" stroked="t" coordsize="9022,7" o:gfxdata="UEsDBAoAAAAAAIdO4kAAAAAAAAAAAAAAAAAEAAAAZHJzL1BLAwQUAAAACACHTuJAhtcGgtIAAAAE&#10;AQAADwAAAGRycy9kb3ducmV2LnhtbE2PzU7DMBCE70i8g7VI3KjdQKs2jVMhUA9wo+XCbRNvk4h4&#10;HcVOf96e5QTH0czOfFtsL75XJxpjF9jCfGZAEdfBddxY+DzsHlagYkJ22AcmC1eKsC1vbwrMXTjz&#10;B532qVFSwjFHC21KQ651rFvyGGdhIBbvGEaPSeTYaDfiWcp9rzNjltpjx7LQ4kAvLdXf+8kLRrbY&#10;dUussup5MEd+f/26dtObtfd3c7MBleiS/sLwiy83UApTFSZ2UfUW5JFkIRN8MVfrJ9GVhccF6LLQ&#10;/+HLH1BLAwQUAAAACACHTuJAvxoXbsMCAAC1BQAADgAAAGRycy9lMm9Eb2MueG1srVTBbhMxEL0j&#10;8Q+Wj0h0d9OkaVbZVFWrIKQClRo+wPF6syu8HmM72ZQzd+4cET+BKvgaivgMxt7NNi3qBZHDZux5&#10;fvNmxp7pybaWZCOMrUBlNDmIKRGKQ16pVUbfLubPjymxjqmcSVAio9fC0pPZ0yfTRqdiACXIXBiC&#10;JMqmjc5o6ZxOo8jyUtTMHoAWCp0FmJo5XJpVlBvWIHsto0EcH0UNmFwb4MJa3D1vnXQW+ItCcPem&#10;KKxwRGYUtbnwNeG79N9oNmXpyjBdVryTwf5BRc0qhUF7qnPmGFmb6i+quuIGLBTugEMdQVFUXIQc&#10;MJskfpDNVcm0CLlgcazuy2T/Hy1/vbk0pMozOqBEsRpb9PPm5tfHT7dfP//+8e32+xcy8EVqtE0R&#10;e6UvjU/T6gvg7yxRcFYytRKnxkBTCpajtMTjo3sH/MLiUbJsXkGOMdjaQajXtjC1J8RKkG1oy3Xf&#10;FrF1hOPm6Gh8NImxexx9w+FwFAKwdHeWr617ISDwsM2FdW1Tc7RCS/IusQVSFLXE/j6LSEwaMokH&#10;ITlsW49J7mFKMu6uSA/AOvUknuARnsM92Jh0PJGP1Mli5U4p36puDy2C5fQV8Mo1WF8UrxszX7SF&#10;ZSmivPcRMOrz4MOuSAGMcfG/C2LwUTx8DoYSfA7LNlfNnNcWFKBJmoyGSpEyo+MgrIaNWEAAuAdt&#10;w1B3Xqn2US0Jigs1RWDrRsNHxDvTGiE02vttVTCvpAx9lcoLSkbH41HQYkFWufd6OdaslmfSkA3D&#10;9z6fx/jr6nAPZmCtcn9LvQZ/ToRRgZH95u62trd+Cfk13lwD7ezAWYdGCeYDJQ3OjYza92tmBCXy&#10;pcLbP0mGQz9owmI4Gg9wYfY9y30PUxypMuoo9t2bZ64dTmttqlWJkZKQpIJTfDFF1etrVXVicTaE&#10;XLo55ofP/jqg7qbt7A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CG1waC0gAAAAQBAAAPAAAAAAAA&#10;AAEAIAAAACIAAABkcnMvZG93bnJldi54bWxQSwECFAAUAAAACACHTuJAvxoXbsMCAAC1BQAADgAA&#10;AAAAAAABACAAAAAhAQAAZHJzL2Uyb0RvYy54bWxQSwUGAAAAAAYABgBZAQAAVgYAAAAA&#10;" path="m0,0l9022,7e">
                <v:path o:connectlocs="0,0;5676900,4445" o:connectangles="0,0"/>
                <v:fill on="f" focussize="0,0"/>
                <v:stroke weight="1.25pt" color="#FF0000" joinstyle="round"/>
                <v:imagedata o:title=""/>
                <o:lock v:ext="edit" aspectratio="f"/>
              </v:shape>
            </w:pict>
          </mc:Fallback>
        </mc:AlternateContent>
      </w:r>
      <w:r>
        <w:rPr>
          <w:rFonts w:hint="eastAsia"/>
          <w:lang w:val="en-US" w:eastAsia="zh-CN" w:bidi="mn-Mong-CN"/>
        </w:rPr>
        <w:t xml:space="preserve">                                                                      </w:t>
      </w:r>
      <w:r>
        <w:rPr>
          <w:rFonts w:hint="eastAsia" w:ascii="仿宋" w:hAnsi="仿宋" w:eastAsia="仿宋" w:cs="仿宋"/>
          <w:sz w:val="32"/>
          <w:szCs w:val="32"/>
        </w:rPr>
        <w:t>印数：</w:t>
      </w:r>
      <w:r>
        <w:rPr>
          <w:rFonts w:hint="eastAsia" w:ascii="仿宋" w:hAnsi="仿宋" w:eastAsia="仿宋" w:cs="仿宋"/>
          <w:sz w:val="32"/>
          <w:szCs w:val="32"/>
          <w:lang w:val="en-US" w:eastAsia="zh-CN"/>
        </w:rPr>
        <w:t>150</w:t>
      </w:r>
      <w:r>
        <w:rPr>
          <w:rFonts w:hint="eastAsia" w:ascii="仿宋" w:hAnsi="仿宋" w:eastAsia="仿宋" w:cs="仿宋"/>
          <w:sz w:val="32"/>
          <w:szCs w:val="32"/>
        </w:rPr>
        <w:t>份</w:t>
      </w: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康煕字典體(Demo)">
    <w:panose1 w:val="00000000000000000000"/>
    <w:charset w:val="88"/>
    <w:family w:val="auto"/>
    <w:pitch w:val="default"/>
    <w:sig w:usb0="80000001" w:usb1="38010000" w:usb2="00000012" w:usb3="00000000" w:csb0="00100001" w:csb1="00000000"/>
  </w:font>
  <w:font w:name="微软雅黑">
    <w:panose1 w:val="020B0503020204020204"/>
    <w:charset w:val="86"/>
    <w:family w:val="auto"/>
    <w:pitch w:val="default"/>
    <w:sig w:usb0="80000287" w:usb1="28CF3C50" w:usb2="00000016" w:usb3="00000000" w:csb0="0004001F" w:csb1="00000000"/>
  </w:font>
  <w:font w:name="微软雅黑 Light">
    <w:panose1 w:val="020B0502040204020203"/>
    <w:charset w:val="86"/>
    <w:family w:val="auto"/>
    <w:pitch w:val="default"/>
    <w:sig w:usb0="80000287" w:usb1="28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6497B"/>
    <w:multiLevelType w:val="multilevel"/>
    <w:tmpl w:val="2CD6497B"/>
    <w:lvl w:ilvl="0" w:tentative="0">
      <w:start w:val="1"/>
      <w:numFmt w:val="chineseCountingThousand"/>
      <w:lvlText w:val="%1、"/>
      <w:lvlJc w:val="left"/>
      <w:pPr>
        <w:ind w:left="720" w:hanging="480"/>
      </w:pPr>
      <w:rPr>
        <w:rFonts w:hint="default"/>
        <w:lang w:val="en-US"/>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251"/>
    <w:rsid w:val="000F637F"/>
    <w:rsid w:val="0012612D"/>
    <w:rsid w:val="00175E60"/>
    <w:rsid w:val="002262A2"/>
    <w:rsid w:val="00231C20"/>
    <w:rsid w:val="002778C3"/>
    <w:rsid w:val="00286B64"/>
    <w:rsid w:val="00377CE1"/>
    <w:rsid w:val="00396123"/>
    <w:rsid w:val="003C5397"/>
    <w:rsid w:val="00483DC2"/>
    <w:rsid w:val="00492484"/>
    <w:rsid w:val="005128FD"/>
    <w:rsid w:val="005D367F"/>
    <w:rsid w:val="006C30F6"/>
    <w:rsid w:val="006D2EB3"/>
    <w:rsid w:val="006E665D"/>
    <w:rsid w:val="007568D2"/>
    <w:rsid w:val="007D447C"/>
    <w:rsid w:val="00833860"/>
    <w:rsid w:val="00864889"/>
    <w:rsid w:val="008E117D"/>
    <w:rsid w:val="0095650E"/>
    <w:rsid w:val="00A20AD1"/>
    <w:rsid w:val="00A70B8C"/>
    <w:rsid w:val="00A95251"/>
    <w:rsid w:val="00A9541E"/>
    <w:rsid w:val="00AA2BCC"/>
    <w:rsid w:val="00B25F8E"/>
    <w:rsid w:val="00B40706"/>
    <w:rsid w:val="00B717BF"/>
    <w:rsid w:val="00D40B2B"/>
    <w:rsid w:val="00D76B76"/>
    <w:rsid w:val="00E2421A"/>
    <w:rsid w:val="00E95709"/>
    <w:rsid w:val="00E96C30"/>
    <w:rsid w:val="00F6628F"/>
    <w:rsid w:val="1132004B"/>
    <w:rsid w:val="566F7A39"/>
    <w:rsid w:val="6E242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unhideWhenUsed/>
    <w:uiPriority w:val="99"/>
    <w:pPr>
      <w:spacing w:after="120" w:line="480" w:lineRule="auto"/>
    </w:pPr>
    <w:rPr>
      <w:rFonts w:hint="eastAsia"/>
      <w:kern w:val="0"/>
      <w:sz w:val="20"/>
      <w:szCs w:val="20"/>
      <w:lang w:val="zh-CN"/>
    </w:rPr>
  </w:style>
  <w:style w:type="paragraph" w:styleId="6">
    <w:name w:val="Normal (Web)"/>
    <w:basedOn w:val="1"/>
    <w:unhideWhenUsed/>
    <w:qFormat/>
    <w:uiPriority w:val="0"/>
    <w:pPr>
      <w:widowControl/>
      <w:spacing w:before="100" w:beforeAutospacing="1" w:after="100" w:afterAutospacing="1"/>
      <w:jc w:val="left"/>
    </w:pPr>
    <w:rPr>
      <w:rFonts w:ascii="宋体" w:hAnsi="宋体"/>
      <w:kern w:val="0"/>
      <w:sz w:val="24"/>
    </w:rPr>
  </w:style>
  <w:style w:type="character" w:customStyle="1" w:styleId="9">
    <w:name w:val="批注框文本 Char"/>
    <w:basedOn w:val="7"/>
    <w:link w:val="2"/>
    <w:semiHidden/>
    <w:uiPriority w:val="99"/>
    <w:rPr>
      <w:rFonts w:ascii="Times New Roman" w:hAnsi="Times New Roman" w:eastAsia="宋体" w:cs="Times New Roman"/>
      <w:kern w:val="2"/>
      <w:sz w:val="18"/>
      <w:szCs w:val="18"/>
    </w:rPr>
  </w:style>
  <w:style w:type="character" w:customStyle="1" w:styleId="10">
    <w:name w:val="页眉 Char"/>
    <w:basedOn w:val="7"/>
    <w:link w:val="4"/>
    <w:uiPriority w:val="99"/>
    <w:rPr>
      <w:rFonts w:ascii="Times New Roman" w:hAnsi="Times New Roman" w:eastAsia="宋体" w:cs="Times New Roman"/>
      <w:kern w:val="2"/>
      <w:sz w:val="18"/>
      <w:szCs w:val="18"/>
    </w:rPr>
  </w:style>
  <w:style w:type="character" w:customStyle="1" w:styleId="11">
    <w:name w:val="页脚 Char"/>
    <w:basedOn w:val="7"/>
    <w:link w:val="3"/>
    <w:uiPriority w:val="99"/>
    <w:rPr>
      <w:rFonts w:ascii="Times New Roman" w:hAnsi="Times New Roman" w:eastAsia="宋体" w:cs="Times New Roman"/>
      <w:kern w:val="2"/>
      <w:sz w:val="18"/>
      <w:szCs w:val="18"/>
    </w:rPr>
  </w:style>
  <w:style w:type="paragraph" w:customStyle="1" w:styleId="12">
    <w:name w:val="List Paragraph"/>
    <w:basedOn w:val="1"/>
    <w:unhideWhenUsed/>
    <w:qFormat/>
    <w:uiPriority w:val="99"/>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wmf"/>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250</Words>
  <Characters>1430</Characters>
  <Lines>11</Lines>
  <Paragraphs>3</Paragraphs>
  <TotalTime>0</TotalTime>
  <ScaleCrop>false</ScaleCrop>
  <LinksUpToDate>false</LinksUpToDate>
  <CharactersWithSpaces>1677</CharactersWithSpaces>
  <Application>WPS Office_10.1.0.6747_F1E327BC-269C-435d-A152-05C5408002CA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2017-09-04T08:28:00Z</dcterms:created>
  <dc:creator>Administrator</dc:creator>
  <lastModifiedBy>Administrator</lastModifiedBy>
  <dcterms:modified xsi:type="dcterms:W3CDTF">2017-09-11T01:51:13Z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